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A9" w:rsidRDefault="001E4FA9" w:rsidP="001E4FA9">
      <w:pPr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D34230" wp14:editId="249F1098">
            <wp:simplePos x="0" y="0"/>
            <wp:positionH relativeFrom="column">
              <wp:posOffset>2418080</wp:posOffset>
            </wp:positionH>
            <wp:positionV relativeFrom="paragraph">
              <wp:posOffset>1670050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C52F1" wp14:editId="5C16921C">
                <wp:simplePos x="0" y="0"/>
                <wp:positionH relativeFrom="column">
                  <wp:posOffset>-889635</wp:posOffset>
                </wp:positionH>
                <wp:positionV relativeFrom="paragraph">
                  <wp:posOffset>-110490</wp:posOffset>
                </wp:positionV>
                <wp:extent cx="7191375" cy="1714500"/>
                <wp:effectExtent l="0" t="0" r="0" b="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913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9" w:rsidRDefault="001E4FA9" w:rsidP="001E4FA9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" ВАСИЛЬЕВСКИЙ  ВЕСТНИК " специальный выпуск </w:t>
                            </w:r>
                          </w:p>
                          <w:p w:rsidR="001E4FA9" w:rsidRPr="00A80723" w:rsidRDefault="001E4FA9" w:rsidP="001E4FA9">
                            <w:pPr>
                              <w:pStyle w:val="a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16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5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70.05pt;margin-top:-8.7pt;width:566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" filled="f" stroked="f">
                <o:lock v:ext="edit" shapetype="t"/>
                <v:textbox>
                  <w:txbxContent>
                    <w:p w:rsidR="001E4FA9" w:rsidRDefault="001E4FA9" w:rsidP="001E4FA9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" ВАСИЛЬЕВСКИЙ  ВЕСТНИК " специальный выпуск </w:t>
                      </w:r>
                    </w:p>
                    <w:p w:rsidR="001E4FA9" w:rsidRPr="00A80723" w:rsidRDefault="001E4FA9" w:rsidP="001E4FA9">
                      <w:pPr>
                        <w:pStyle w:val="a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№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 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16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5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1E4FA9" w:rsidRDefault="001E4FA9" w:rsidP="001E4FA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1E4FA9" w:rsidRDefault="001E4FA9" w:rsidP="001E4FA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1E4FA9" w:rsidRDefault="001E4FA9" w:rsidP="001E4FA9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FCDF1A" wp14:editId="6307C129">
                <wp:simplePos x="0" y="0"/>
                <wp:positionH relativeFrom="column">
                  <wp:posOffset>-262255</wp:posOffset>
                </wp:positionH>
                <wp:positionV relativeFrom="paragraph">
                  <wp:posOffset>128905</wp:posOffset>
                </wp:positionV>
                <wp:extent cx="7191375" cy="762000"/>
                <wp:effectExtent l="0" t="0" r="0" b="0"/>
                <wp:wrapThrough wrapText="bothSides">
                  <wp:wrapPolygon edited="0">
                    <wp:start x="114" y="0"/>
                    <wp:lineTo x="114" y="21060"/>
                    <wp:lineTo x="21400" y="21060"/>
                    <wp:lineTo x="21400" y="0"/>
                    <wp:lineTo x="114" y="0"/>
                  </wp:wrapPolygon>
                </wp:wrapThrough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913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9" w:rsidRPr="00465FF4" w:rsidRDefault="001E4FA9" w:rsidP="001E4FA9">
                            <w:pPr>
                              <w:pStyle w:val="a3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65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ПРОКУРАТУРА УЖУРСКОГО РАЙОНА ИНФОРМИРУЕТ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  <w:r w:rsidRPr="00465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20.65pt;margin-top:10.15pt;width:566.25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" filled="f" stroked="f">
                <o:lock v:ext="edit" shapetype="t"/>
                <v:textbox>
                  <w:txbxContent>
                    <w:p w:rsidR="001E4FA9" w:rsidRPr="00465FF4" w:rsidRDefault="001E4FA9" w:rsidP="001E4FA9">
                      <w:pPr>
                        <w:pStyle w:val="a3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65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ПРОКУРАТУРА УЖУРСКОГО РАЙОНА ИНФОРМИРУЕТ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:</w:t>
                      </w:r>
                      <w:r w:rsidRPr="00465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E4FA9" w:rsidRPr="001E4FA9" w:rsidRDefault="001E4FA9" w:rsidP="001E4FA9">
      <w:pPr>
        <w:jc w:val="center"/>
        <w:rPr>
          <w:b/>
          <w:sz w:val="20"/>
          <w:szCs w:val="20"/>
        </w:rPr>
      </w:pPr>
      <w:r w:rsidRPr="001E4FA9">
        <w:rPr>
          <w:b/>
          <w:sz w:val="20"/>
          <w:szCs w:val="20"/>
        </w:rPr>
        <w:t>ИНФОРМАЦИЯ</w:t>
      </w:r>
    </w:p>
    <w:p w:rsidR="001E4FA9" w:rsidRPr="001E4FA9" w:rsidRDefault="001E4FA9" w:rsidP="001E4FA9">
      <w:pPr>
        <w:ind w:left="708"/>
        <w:jc w:val="both"/>
        <w:rPr>
          <w:sz w:val="20"/>
          <w:szCs w:val="20"/>
        </w:rPr>
      </w:pPr>
      <w:r w:rsidRPr="001E4FA9">
        <w:rPr>
          <w:sz w:val="20"/>
          <w:szCs w:val="20"/>
        </w:rPr>
        <w:t xml:space="preserve"> «Руководителями прокуратуры Красноярского края в режиме ВКС 21 мая 2024 года будет </w:t>
      </w:r>
      <w:proofErr w:type="gramStart"/>
      <w:r w:rsidRPr="001E4FA9">
        <w:rPr>
          <w:sz w:val="20"/>
          <w:szCs w:val="20"/>
        </w:rPr>
        <w:t>проводится</w:t>
      </w:r>
      <w:proofErr w:type="gramEnd"/>
      <w:r w:rsidRPr="001E4FA9">
        <w:rPr>
          <w:sz w:val="20"/>
          <w:szCs w:val="20"/>
        </w:rPr>
        <w:t xml:space="preserve"> личный прием граждан по вопросам безвестного исчезновения граждан». Кроме того, прокурором Ужурского района 20.05.2024 с 09:00 до 13:00 будет проведён аналогичный приём граждан. Прием заместителем будет производиться по предварительной записи. Записаться на прием можно по телефону 8 (39156) 21-8-50, 21-7-81». </w:t>
      </w:r>
    </w:p>
    <w:p w:rsidR="00557F04" w:rsidRPr="001E4FA9" w:rsidRDefault="001E4FA9" w:rsidP="001E4FA9">
      <w:pPr>
        <w:ind w:left="6372"/>
        <w:rPr>
          <w:sz w:val="20"/>
          <w:szCs w:val="20"/>
        </w:rPr>
      </w:pPr>
      <w:r w:rsidRPr="001E4FA9">
        <w:rPr>
          <w:sz w:val="20"/>
          <w:szCs w:val="20"/>
        </w:rPr>
        <w:t>Заместитель прокурора района младший советник юстиции И.Ю. Максим</w:t>
      </w:r>
      <w:r w:rsidRPr="001E4FA9">
        <w:rPr>
          <w:sz w:val="20"/>
          <w:szCs w:val="20"/>
        </w:rPr>
        <w:t>енко</w:t>
      </w:r>
    </w:p>
    <w:p w:rsidR="001E4FA9" w:rsidRPr="001E4FA9" w:rsidRDefault="001E4FA9" w:rsidP="001E4FA9">
      <w:pPr>
        <w:ind w:left="4248"/>
        <w:rPr>
          <w:sz w:val="20"/>
          <w:szCs w:val="20"/>
        </w:rPr>
      </w:pPr>
    </w:p>
    <w:p w:rsidR="001E4FA9" w:rsidRPr="001E4FA9" w:rsidRDefault="001E4FA9" w:rsidP="001E4FA9">
      <w:pPr>
        <w:jc w:val="center"/>
        <w:rPr>
          <w:b/>
          <w:sz w:val="20"/>
          <w:szCs w:val="20"/>
        </w:rPr>
      </w:pPr>
      <w:r w:rsidRPr="001E4FA9">
        <w:rPr>
          <w:b/>
          <w:sz w:val="20"/>
          <w:szCs w:val="20"/>
        </w:rPr>
        <w:t>ИНФОРМАЦИЯ</w:t>
      </w:r>
    </w:p>
    <w:p w:rsidR="001E4FA9" w:rsidRPr="001E4FA9" w:rsidRDefault="001E4FA9" w:rsidP="001E4FA9">
      <w:pPr>
        <w:jc w:val="both"/>
        <w:rPr>
          <w:sz w:val="20"/>
          <w:szCs w:val="20"/>
        </w:rPr>
      </w:pPr>
      <w:r w:rsidRPr="001E4FA9">
        <w:rPr>
          <w:sz w:val="20"/>
          <w:szCs w:val="20"/>
        </w:rPr>
        <w:t xml:space="preserve">Федеральным законом от 30.01.2024 № 5-ФЗ внесены изменения в Федеральный закон от 21.12.1994 № 68-ФЗ «О защите населения и территорий от чрезвычайных ситуаций природного и техногенного характера» в части совершенствования правовых механизмов, направленных на предупреждение чрезвычайных ситуаций, в том числе в режиме повышенной готовности, данный документ вступает в законную силу 29.06.2024.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 Кроме того, резервы финансовых и материальных ресурсов для ликвидации чрезвычайных ситуаций, создаваемые муниципалитетами,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принятым органами местного самоуправления. Названные изменения федерального законодательства повлекут необходимость корректировки положений, регламентирующих создание резервов финансовых и материальных ресурсов для ликвидации чрезвычайных ситуаций. </w:t>
      </w:r>
    </w:p>
    <w:p w:rsidR="001E4FA9" w:rsidRPr="001E4FA9" w:rsidRDefault="001E4FA9" w:rsidP="001E4FA9">
      <w:pPr>
        <w:ind w:left="6372"/>
        <w:rPr>
          <w:sz w:val="20"/>
          <w:szCs w:val="20"/>
        </w:rPr>
      </w:pPr>
      <w:r w:rsidRPr="001E4FA9">
        <w:rPr>
          <w:sz w:val="20"/>
          <w:szCs w:val="20"/>
        </w:rPr>
        <w:t>Пр</w:t>
      </w:r>
      <w:bookmarkStart w:id="0" w:name="_GoBack"/>
      <w:bookmarkEnd w:id="0"/>
      <w:r w:rsidRPr="001E4FA9">
        <w:rPr>
          <w:sz w:val="20"/>
          <w:szCs w:val="20"/>
        </w:rPr>
        <w:t xml:space="preserve">окурор района младший советник юстиции В.Н. </w:t>
      </w:r>
      <w:proofErr w:type="gramStart"/>
      <w:r w:rsidRPr="001E4FA9">
        <w:rPr>
          <w:sz w:val="20"/>
          <w:szCs w:val="20"/>
        </w:rPr>
        <w:t>Хабаров</w:t>
      </w:r>
      <w:proofErr w:type="gramEnd"/>
    </w:p>
    <w:p w:rsidR="001E4FA9" w:rsidRPr="001E4FA9" w:rsidRDefault="001E4FA9" w:rsidP="001E4FA9">
      <w:pPr>
        <w:ind w:left="4248"/>
        <w:rPr>
          <w:sz w:val="20"/>
          <w:szCs w:val="20"/>
        </w:rPr>
      </w:pPr>
    </w:p>
    <w:p w:rsidR="001E4FA9" w:rsidRPr="001E4FA9" w:rsidRDefault="001E4FA9" w:rsidP="001E4FA9">
      <w:pPr>
        <w:pStyle w:val="a3"/>
        <w:shd w:val="clear" w:color="auto" w:fill="FFFFFF"/>
        <w:ind w:firstLine="567"/>
        <w:jc w:val="center"/>
        <w:rPr>
          <w:b/>
          <w:color w:val="333333"/>
          <w:sz w:val="20"/>
          <w:szCs w:val="20"/>
        </w:rPr>
      </w:pPr>
      <w:r w:rsidRPr="001E4FA9">
        <w:rPr>
          <w:b/>
          <w:color w:val="333333"/>
          <w:sz w:val="20"/>
          <w:szCs w:val="20"/>
        </w:rPr>
        <w:t>Фиктивный брак и его последствия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Фиктивный брак – это брак, который супруги заключают без намерения создать семью.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Зачастую фиктивные браки используются иностранными гражданами для получения гражданства.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Законодательство, регулирующее правовое положение иностранных граждан в Российской Федерации устанавливает, что разрешение на временное проживание может быть выдано иностранному гражданину без учета квот, утвержденных Правительством Российской Федерации, если он состоит в браке с гражданином Российской Федерации, имеющим место жительства на территории Российской Федерации.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Основная причина заключения фиктивного брака в России – это возможность для иностранца легко и быстро получить разрешение на временное проживание, а также стать гражданином РФ и получить все сопутствующие права: на работу, медицинское обслуживание, образование и т.д.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Граждане Российской Федерации, заключающие фиктивные браки зачастую не подразумевают об их правовых последствиях.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Основным является то, что иностранный гражданин после заключения брака имеет право претендовать на имущество другого.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Чем грозит получение гражданства Российской Федерации через фиктивный брак: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1. Аннулирование гражданства. А если его еще не выдали, будет наложен арест. Если миграция была незаконной, то обычно следует депортация.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2. Аннулирование записи о браке.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3. Все сделки, выполненные на основании оформленного союза, будут признаны незаконными.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rFonts w:ascii="Roboto" w:hAnsi="Roboto"/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4. Последствия могут быть в виде деления совместного имущества.</w:t>
      </w:r>
    </w:p>
    <w:p w:rsidR="001E4FA9" w:rsidRPr="001E4FA9" w:rsidRDefault="001E4FA9" w:rsidP="001E4FA9">
      <w:pPr>
        <w:ind w:left="4248"/>
        <w:rPr>
          <w:sz w:val="20"/>
          <w:szCs w:val="20"/>
        </w:rPr>
      </w:pPr>
    </w:p>
    <w:p w:rsidR="001E4FA9" w:rsidRPr="001E4FA9" w:rsidRDefault="001E4FA9" w:rsidP="001E4FA9">
      <w:pPr>
        <w:ind w:left="142" w:hanging="142"/>
        <w:jc w:val="center"/>
        <w:rPr>
          <w:b/>
          <w:sz w:val="20"/>
          <w:szCs w:val="20"/>
        </w:rPr>
      </w:pPr>
      <w:r w:rsidRPr="001E4FA9">
        <w:rPr>
          <w:b/>
          <w:sz w:val="20"/>
          <w:szCs w:val="20"/>
        </w:rPr>
        <w:t>ОБОРОТ АЛКОГОЛЬНОЙ ПРОДУКЦИИ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Порядок производства и оборота этилового спирта, алкогольной и спиртосодержащей продукции на территории Российской Федерации регулируется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Согласно ст. 2 Федерального закона № 171-ФЗ под производством этилового спирта, алкогольной и спиртосодержащей продукции понимается производство такой продукции в целях ее продажи и получения прибыли, а также для собственных нужд.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В понятие «оборот» включены закупка (в том числе импорт), поставки (в том числе экспорт), хранение, перевозки и розничная продажа продукции, на которые распространяется действие настоящего Федерального закона.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К алкогольной продукции относится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proofErr w:type="gramStart"/>
      <w:r w:rsidRPr="001E4FA9">
        <w:rPr>
          <w:color w:val="333333"/>
          <w:sz w:val="20"/>
          <w:szCs w:val="20"/>
        </w:rPr>
        <w:t xml:space="preserve">Алкогольная продукция подразделяется на такие виды, как спиртные напитки (в том числе водка, коньяк, виноградная водка, бренди), вино, крепленое вино, игристое вино, включая российское шампанское, </w:t>
      </w:r>
      <w:proofErr w:type="spellStart"/>
      <w:r w:rsidRPr="001E4FA9">
        <w:rPr>
          <w:color w:val="333333"/>
          <w:sz w:val="20"/>
          <w:szCs w:val="20"/>
        </w:rPr>
        <w:t>виноградосодержащие</w:t>
      </w:r>
      <w:proofErr w:type="spellEnd"/>
      <w:r w:rsidRPr="001E4FA9">
        <w:rPr>
          <w:color w:val="333333"/>
          <w:sz w:val="20"/>
          <w:szCs w:val="20"/>
        </w:rP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proofErr w:type="spellStart"/>
      <w:r w:rsidRPr="001E4FA9">
        <w:rPr>
          <w:color w:val="333333"/>
          <w:sz w:val="20"/>
          <w:szCs w:val="20"/>
        </w:rPr>
        <w:t>пуаре</w:t>
      </w:r>
      <w:proofErr w:type="spellEnd"/>
      <w:r w:rsidRPr="001E4FA9">
        <w:rPr>
          <w:color w:val="333333"/>
          <w:sz w:val="20"/>
          <w:szCs w:val="20"/>
        </w:rPr>
        <w:t>, медовуха.</w:t>
      </w:r>
      <w:proofErr w:type="gramEnd"/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proofErr w:type="gramStart"/>
      <w:r w:rsidRPr="001E4FA9">
        <w:rPr>
          <w:color w:val="333333"/>
          <w:sz w:val="20"/>
          <w:szCs w:val="20"/>
        </w:rPr>
        <w:t xml:space="preserve">В соответствии со ст. 16 Федерального закона № 171-ФЗ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proofErr w:type="spellStart"/>
      <w:r w:rsidRPr="001E4FA9">
        <w:rPr>
          <w:color w:val="333333"/>
          <w:sz w:val="20"/>
          <w:szCs w:val="20"/>
        </w:rPr>
        <w:t>пуаре</w:t>
      </w:r>
      <w:proofErr w:type="spellEnd"/>
      <w:r w:rsidRPr="001E4FA9">
        <w:rPr>
          <w:color w:val="333333"/>
          <w:sz w:val="20"/>
          <w:szCs w:val="20"/>
        </w:rPr>
        <w:t>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  <w:proofErr w:type="gramEnd"/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 xml:space="preserve">Розничная продажа пива, пивных напитков, сидра, </w:t>
      </w:r>
      <w:proofErr w:type="spellStart"/>
      <w:r w:rsidRPr="001E4FA9">
        <w:rPr>
          <w:color w:val="333333"/>
          <w:sz w:val="20"/>
          <w:szCs w:val="20"/>
        </w:rPr>
        <w:t>пуаре</w:t>
      </w:r>
      <w:proofErr w:type="spellEnd"/>
      <w:r w:rsidRPr="001E4FA9">
        <w:rPr>
          <w:color w:val="333333"/>
          <w:sz w:val="20"/>
          <w:szCs w:val="20"/>
        </w:rPr>
        <w:t xml:space="preserve">, медовухи и розничная продажа пива, пивных напитков, сидра, </w:t>
      </w:r>
      <w:proofErr w:type="spellStart"/>
      <w:r w:rsidRPr="001E4FA9">
        <w:rPr>
          <w:color w:val="333333"/>
          <w:sz w:val="20"/>
          <w:szCs w:val="20"/>
        </w:rPr>
        <w:t>пуаре</w:t>
      </w:r>
      <w:proofErr w:type="spellEnd"/>
      <w:r w:rsidRPr="001E4FA9">
        <w:rPr>
          <w:color w:val="333333"/>
          <w:sz w:val="20"/>
          <w:szCs w:val="20"/>
        </w:rPr>
        <w:t xml:space="preserve">, медовухи при оказании услуг общественного питания осуществляются организациями и индивидуальными предпринимателями. 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 xml:space="preserve">Крестьянские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</w:t>
      </w:r>
      <w:proofErr w:type="gramStart"/>
      <w:r w:rsidRPr="001E4FA9">
        <w:rPr>
          <w:color w:val="333333"/>
          <w:sz w:val="20"/>
          <w:szCs w:val="20"/>
        </w:rPr>
        <w:t>произведенных</w:t>
      </w:r>
      <w:proofErr w:type="gramEnd"/>
      <w:r w:rsidRPr="001E4FA9">
        <w:rPr>
          <w:color w:val="333333"/>
          <w:sz w:val="20"/>
          <w:szCs w:val="20"/>
        </w:rPr>
        <w:t xml:space="preserve"> ими вина, игристого вина. 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Согласно п. 1 ст. 18 Федерального закона № 171-ФЗ деятельность по производству и обороту этилового спирта, алкогольной и спиртосодержащей продукции подлежит лицензированию.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t>Пунктом 20 ст. 19 Федерального закона № 171-ФЗ установлено, что действие лицензии на производство и оборот этилового спирта, алкогольной продукции, выданной организации, распространяется на деятельность ее обособленных подразделений при условии указания мест их нахождения в лицензии.</w:t>
      </w:r>
    </w:p>
    <w:p w:rsidR="001E4FA9" w:rsidRPr="001E4FA9" w:rsidRDefault="001E4FA9" w:rsidP="001E4FA9">
      <w:pPr>
        <w:pStyle w:val="a3"/>
        <w:shd w:val="clear" w:color="auto" w:fill="FFFFFF"/>
        <w:ind w:firstLine="567"/>
        <w:jc w:val="both"/>
        <w:rPr>
          <w:color w:val="333333"/>
          <w:sz w:val="20"/>
          <w:szCs w:val="20"/>
        </w:rPr>
      </w:pPr>
      <w:r w:rsidRPr="001E4FA9">
        <w:rPr>
          <w:color w:val="333333"/>
          <w:sz w:val="20"/>
          <w:szCs w:val="20"/>
        </w:rPr>
        <w:lastRenderedPageBreak/>
        <w:t>В силу п. 6 Постановления Пленума Высшего Арбитражного Суда Российской Федерации от 11.07.2014 № 47 осуществление организацией деятельности по производству и обороту этилового спирта, алкогольной и спиртосодержащей продукции на базе обособленного подразделения, не указанного в лицензии, следует квалифицировать как нарушение условий, предусмотренных специальным разрешением - лицензией (нарушение лицензионных требований).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4FA9">
        <w:rPr>
          <w:rFonts w:ascii="Times New Roman" w:hAnsi="Times New Roman" w:cs="Times New Roman"/>
          <w:sz w:val="20"/>
          <w:szCs w:val="20"/>
        </w:rPr>
        <w:t xml:space="preserve">Кодексом РФ об административных правонарушениях предусмотрена административная ответственность </w:t>
      </w:r>
      <w:proofErr w:type="gramStart"/>
      <w:r w:rsidRPr="001E4FA9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1E4FA9">
        <w:rPr>
          <w:rFonts w:ascii="Times New Roman" w:hAnsi="Times New Roman" w:cs="Times New Roman"/>
          <w:sz w:val="20"/>
          <w:szCs w:val="20"/>
        </w:rPr>
        <w:t>: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sz w:val="20"/>
          <w:szCs w:val="20"/>
        </w:rPr>
        <w:t xml:space="preserve">- </w:t>
      </w:r>
      <w:r w:rsidRPr="001E4FA9">
        <w:rPr>
          <w:rFonts w:ascii="Times New Roman" w:hAnsi="Times New Roman" w:cs="Times New Roman"/>
          <w:bCs/>
          <w:sz w:val="20"/>
          <w:szCs w:val="20"/>
        </w:rPr>
        <w:t>нарушение требований к производству или обороту этилового спирта, алкогольной и спиртосодержащей продукции (ст.14.17);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>- незаконную розничную продажу алкогольной и спиртосодержащей пищевой продукции физическими лицами (ст.14.17.1);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>- незаконное перемещение физическими лицами алкогольной продукции (ст.14.17.2);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>- производство и (или) оборот порошкообразной спиртосодержащей продукци</w:t>
      </w:r>
      <w:proofErr w:type="gramStart"/>
      <w:r w:rsidRPr="001E4FA9">
        <w:rPr>
          <w:rFonts w:ascii="Times New Roman" w:hAnsi="Times New Roman" w:cs="Times New Roman"/>
          <w:bCs/>
          <w:sz w:val="20"/>
          <w:szCs w:val="20"/>
        </w:rPr>
        <w:t>и(</w:t>
      </w:r>
      <w:proofErr w:type="gramEnd"/>
      <w:r w:rsidRPr="001E4FA9">
        <w:rPr>
          <w:rFonts w:ascii="Times New Roman" w:hAnsi="Times New Roman" w:cs="Times New Roman"/>
          <w:bCs/>
          <w:sz w:val="20"/>
          <w:szCs w:val="20"/>
        </w:rPr>
        <w:t>ст.14.17.3);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 xml:space="preserve">- нарушение требований к производству и (или) обороту пива и пивных напитков, сидра, </w:t>
      </w:r>
      <w:proofErr w:type="spellStart"/>
      <w:r w:rsidRPr="001E4FA9">
        <w:rPr>
          <w:rFonts w:ascii="Times New Roman" w:hAnsi="Times New Roman" w:cs="Times New Roman"/>
          <w:bCs/>
          <w:sz w:val="20"/>
          <w:szCs w:val="20"/>
        </w:rPr>
        <w:t>пуаре</w:t>
      </w:r>
      <w:proofErr w:type="spellEnd"/>
      <w:r w:rsidRPr="001E4FA9">
        <w:rPr>
          <w:rFonts w:ascii="Times New Roman" w:hAnsi="Times New Roman" w:cs="Times New Roman"/>
          <w:bCs/>
          <w:sz w:val="20"/>
          <w:szCs w:val="20"/>
        </w:rPr>
        <w:t>, медовух</w:t>
      </w:r>
      <w:proofErr w:type="gramStart"/>
      <w:r w:rsidRPr="001E4FA9">
        <w:rPr>
          <w:rFonts w:ascii="Times New Roman" w:hAnsi="Times New Roman" w:cs="Times New Roman"/>
          <w:bCs/>
          <w:sz w:val="20"/>
          <w:szCs w:val="20"/>
        </w:rPr>
        <w:t>и(</w:t>
      </w:r>
      <w:proofErr w:type="gramEnd"/>
      <w:r w:rsidRPr="001E4FA9">
        <w:rPr>
          <w:rFonts w:ascii="Times New Roman" w:hAnsi="Times New Roman" w:cs="Times New Roman"/>
          <w:bCs/>
          <w:sz w:val="20"/>
          <w:szCs w:val="20"/>
        </w:rPr>
        <w:t>ст.14.17.4);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>-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 для производства алкогольной и спиртосодержащей пищевой продукци</w:t>
      </w:r>
      <w:proofErr w:type="gramStart"/>
      <w:r w:rsidRPr="001E4FA9">
        <w:rPr>
          <w:rFonts w:ascii="Times New Roman" w:hAnsi="Times New Roman" w:cs="Times New Roman"/>
          <w:bCs/>
          <w:sz w:val="20"/>
          <w:szCs w:val="20"/>
        </w:rPr>
        <w:t>и(</w:t>
      </w:r>
      <w:proofErr w:type="gramEnd"/>
      <w:r w:rsidRPr="001E4FA9">
        <w:rPr>
          <w:rFonts w:ascii="Times New Roman" w:hAnsi="Times New Roman" w:cs="Times New Roman"/>
          <w:bCs/>
          <w:sz w:val="20"/>
          <w:szCs w:val="20"/>
        </w:rPr>
        <w:t>ст.14.18);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>- нарушение государственного учета в области производства и оборота этилового спирта, алкогольной и спиртосодержащей продукци</w:t>
      </w:r>
      <w:proofErr w:type="gramStart"/>
      <w:r w:rsidRPr="001E4FA9">
        <w:rPr>
          <w:rFonts w:ascii="Times New Roman" w:hAnsi="Times New Roman" w:cs="Times New Roman"/>
          <w:bCs/>
          <w:sz w:val="20"/>
          <w:szCs w:val="20"/>
        </w:rPr>
        <w:t>и(</w:t>
      </w:r>
      <w:proofErr w:type="gramEnd"/>
      <w:r w:rsidRPr="001E4FA9">
        <w:rPr>
          <w:rFonts w:ascii="Times New Roman" w:hAnsi="Times New Roman" w:cs="Times New Roman"/>
          <w:bCs/>
          <w:sz w:val="20"/>
          <w:szCs w:val="20"/>
        </w:rPr>
        <w:t>ст.14.19).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 xml:space="preserve">Уголовным кодексом РФ предусмотрена уголовная ответственность </w:t>
      </w:r>
      <w:proofErr w:type="gramStart"/>
      <w:r w:rsidRPr="001E4FA9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1E4FA9">
        <w:rPr>
          <w:rFonts w:ascii="Times New Roman" w:hAnsi="Times New Roman" w:cs="Times New Roman"/>
          <w:bCs/>
          <w:sz w:val="20"/>
          <w:szCs w:val="20"/>
        </w:rPr>
        <w:t>: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 xml:space="preserve">- незаконные производство и (или) оборот этилового спирта, алкогольной и спиртосодержащей продукции, табачной продукции, </w:t>
      </w:r>
      <w:proofErr w:type="spellStart"/>
      <w:r w:rsidRPr="001E4FA9">
        <w:rPr>
          <w:rFonts w:ascii="Times New Roman" w:hAnsi="Times New Roman" w:cs="Times New Roman"/>
          <w:bCs/>
          <w:sz w:val="20"/>
          <w:szCs w:val="20"/>
        </w:rPr>
        <w:t>никотинсодержащей</w:t>
      </w:r>
      <w:proofErr w:type="spellEnd"/>
      <w:r w:rsidRPr="001E4FA9">
        <w:rPr>
          <w:rFonts w:ascii="Times New Roman" w:hAnsi="Times New Roman" w:cs="Times New Roman"/>
          <w:bCs/>
          <w:sz w:val="20"/>
          <w:szCs w:val="20"/>
        </w:rPr>
        <w:t xml:space="preserve"> продукции и сырья для их производства (ст.171.3);</w:t>
      </w:r>
    </w:p>
    <w:p w:rsidR="001E4FA9" w:rsidRPr="001E4FA9" w:rsidRDefault="001E4FA9" w:rsidP="001E4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4FA9">
        <w:rPr>
          <w:rFonts w:ascii="Times New Roman" w:hAnsi="Times New Roman" w:cs="Times New Roman"/>
          <w:bCs/>
          <w:sz w:val="20"/>
          <w:szCs w:val="20"/>
        </w:rPr>
        <w:t>- незаконную розничную продажу алкогольной и спиртосодержащей пищевой продукции (ст.171.4).</w:t>
      </w:r>
    </w:p>
    <w:p w:rsidR="001E4FA9" w:rsidRDefault="001E4FA9" w:rsidP="001E4FA9">
      <w:pPr>
        <w:ind w:left="142" w:hanging="142"/>
        <w:jc w:val="center"/>
      </w:pPr>
    </w:p>
    <w:sectPr w:rsidR="001E4FA9" w:rsidSect="001E4F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A9"/>
    <w:rsid w:val="001E4FA9"/>
    <w:rsid w:val="005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A9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F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A9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F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2024-05-16T08:59:00Z</dcterms:created>
  <dcterms:modified xsi:type="dcterms:W3CDTF">2024-05-16T09:06:00Z</dcterms:modified>
</cp:coreProperties>
</file>